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泰安市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技术创新中心（新建类）建设方案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一、牵头建设单位现有基础和条件（包括单位基本情况、科研队伍情况、基础设施与仪器设备、科研经费投入情况、开展研发活动情况及成效等）。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二、国内外技术发展水平、趋势及市内发展需求（重点说明本领域技术发展水平和趋势，市内行业、产业发展需求等）。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三、组建中心的背景和意义（重点说明组建中心的必要性、可行性及对行业进步的推动作用等）。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四、中心建设的总体思路（包括指导思想、战略定位、建设原则等）。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五、建设内容（包括总体目标和主要任务、近三年的目标和任务等）。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六、管理运行机制（包括组织架构、运行机制、管理制度、人员配备计划等）。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七、中心未来三年的经费预算情况。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YWNlMmUxMmY4ODJmMTRkMDZiZDNjNzY2Nzg3MGYifQ=="/>
  </w:docVars>
  <w:rsids>
    <w:rsidRoot w:val="1F781B06"/>
    <w:rsid w:val="1F78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2022-05-12T06:05:00Z</dcterms:created>
  <dc:creator>遨游八极</dc:creator>
  <cp:lastModifiedBy>遨游八极</cp:lastModifiedBy>
  <dcterms:modified xsi:type="dcterms:W3CDTF">2022-05-12T06:06:05Z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5571810549244D8EA3E28DBE8D5412B7</vt:lpwstr>
  </property>
</Properties>
</file>