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5C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32"/>
          <w:szCs w:val="32"/>
          <w:lang w:val="en-US" w:eastAsia="zh-CN"/>
        </w:rPr>
        <w:t>首都医科大学附属复兴医院简介</w:t>
      </w:r>
    </w:p>
    <w:p w14:paraId="5571310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首都医科大学附属复兴医院，自1950年成立以来，已发展成为集医疗、教学、科研、预防及社区服务于一体的三级综合医院。医院总建筑面积达10.65万平方米，设有35个临床科室和16个医技、医辅科室，拥有710张编制床位。年门诊量高达62万余人次，急诊量达6万余人次，出院患者人次达2.6万余人次，手术人次达1.2万余人。</w:t>
      </w:r>
    </w:p>
    <w:p w14:paraId="190BFC5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18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9"/>
          <w:szCs w:val="9"/>
          <w:shd w:val="clear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ge">
              <wp:posOffset>6179185</wp:posOffset>
            </wp:positionV>
            <wp:extent cx="5172075" cy="3440430"/>
            <wp:effectExtent l="0" t="0" r="9525" b="7620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440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default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医院在多个领域展现出强劲实力，宫腔镜中心荣登</w:t>
      </w: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2022中国医院影响力排行榜</w:t>
      </w: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，全科医学专业在全国排名第五。检验科通过国际ISO15189认证。拥有4个区域诊疗中心</w:t>
      </w: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2个国家级中心</w:t>
      </w: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4个北京市重大疫情防治临床重点专科</w:t>
      </w: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4个西城区重点专科</w:t>
      </w: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8个多学科综合诊疗中心。</w:t>
      </w:r>
    </w:p>
    <w:p w14:paraId="0E525276"/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NDQzNjEyZTNmYWEzMGI2OTM0MTczNDllMGYzNWMifQ=="/>
  </w:docVars>
  <w:rsids>
    <w:rsidRoot w:val="2246029A"/>
    <w:rsid w:val="084E3014"/>
    <w:rsid w:val="2246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/>
    </w:pPr>
    <w:rPr>
      <w:rFonts w:ascii="Tahoma" w:hAnsi="Arial Unicode MS" w:cs="Arial Unicode MS" w:eastAsiaTheme="minorEastAsia"/>
      <w:color w:val="000000"/>
      <w:sz w:val="22"/>
      <w:szCs w:val="22"/>
      <w:u w:color="000000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2024-10-11T08:50:00Z</dcterms:created>
  <dc:creator>X</dc:creator>
  <cp:lastModifiedBy>X</cp:lastModifiedBy>
  <dcterms:modified xsi:type="dcterms:W3CDTF">2024-10-11T08:51:12Z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A1DAEFDD9A8745D4ACD7DA9B6864F37B_11</vt:lpwstr>
  </property>
</Properties>
</file>